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6" w:rsidRPr="009172F6" w:rsidRDefault="00E904D2" w:rsidP="009172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AF236E">
        <w:rPr>
          <w:rFonts w:ascii="Times New Roman" w:hAnsi="Times New Roman"/>
          <w:b/>
          <w:sz w:val="28"/>
          <w:szCs w:val="28"/>
        </w:rPr>
        <w:t>ответил на вопросы граждан, заданные в марте 2023 года</w:t>
      </w:r>
    </w:p>
    <w:bookmarkEnd w:id="0"/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36E" w:rsidRPr="00AF236E" w:rsidRDefault="00AF236E" w:rsidP="00AF23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color w:val="000000"/>
          <w:sz w:val="28"/>
          <w:szCs w:val="28"/>
        </w:rPr>
        <w:t xml:space="preserve"> Какой срок устанавливается для исполнения объявленного предостережения </w:t>
      </w:r>
      <w:r w:rsidRPr="00AF236E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Pr="00AF236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AF236E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Pr="00AF236E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предостережения </w:t>
      </w:r>
      <w:r w:rsidRPr="00AF236E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законом не предусмотрен.</w:t>
      </w:r>
      <w:r w:rsidRPr="00AF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36E">
        <w:rPr>
          <w:rFonts w:ascii="Times New Roman" w:hAnsi="Times New Roman" w:cs="Times New Roman"/>
          <w:sz w:val="28"/>
          <w:szCs w:val="28"/>
        </w:rPr>
        <w:t xml:space="preserve">Объявление предостережения является формой профилактического мероприятия, которая, в первую очередь, носит предупреждающий характер и не влечет правовых последствий. 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Как снять запрет судебного пристава на регистрационные действия в отношении недвижимости? 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Если пристав законно наложил запрет, но его основания отпали (например, вы погасили долг), рекомендуем подать заявление о снятии запрета приставу для вынесения Постановления об отмене запрета на совершение регистрационных действий.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Кто может обратиться с заявлением о погашении ипотеки в ЕГРН?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Регистрационная запись об ипотеке погашается при поступлении в орган регистрации прав совместного заявления залогодателя и залогодержателя, либо только заявления залогодержателя. В случае, если выдана закладная, то для погашения ипотеки необходимо совместное заявление залогодателя и законного владельца закладной с одновременным представлением документарной закладной, либо заявления законного владельца закладной с одновременным представлением документарной закладной, либо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объем.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Размер платы за предоставление сведений из ЕГРН в электронном виде?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За предоставление гражданам и организациям сведений из ЕГРН в электронном виде взимается плата в размере, установленном </w:t>
      </w:r>
      <w:proofErr w:type="spellStart"/>
      <w:r w:rsidRPr="00AF236E">
        <w:rPr>
          <w:rFonts w:ascii="Times New Roman" w:hAnsi="Times New Roman" w:cs="Times New Roman"/>
          <w:sz w:val="28"/>
          <w:szCs w:val="28"/>
        </w:rPr>
        <w:t>Минэконоиразвития</w:t>
      </w:r>
      <w:proofErr w:type="spellEnd"/>
      <w:r w:rsidRPr="00AF236E">
        <w:rPr>
          <w:rFonts w:ascii="Times New Roman" w:hAnsi="Times New Roman" w:cs="Times New Roman"/>
          <w:sz w:val="28"/>
          <w:szCs w:val="28"/>
        </w:rPr>
        <w:t xml:space="preserve"> России. В зависимости от требуемого документа она составляет от 150 до 600 рублей для физических лиц и от 300 до 900 рублей для юридических лиц.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Возможно </w:t>
      </w:r>
      <w:r>
        <w:rPr>
          <w:rFonts w:ascii="Times New Roman" w:hAnsi="Times New Roman" w:cs="Times New Roman"/>
          <w:sz w:val="28"/>
          <w:szCs w:val="28"/>
        </w:rPr>
        <w:t xml:space="preserve">ли в рамках "гаражной амнистии" </w:t>
      </w:r>
      <w:r w:rsidRPr="00AF236E">
        <w:rPr>
          <w:rFonts w:ascii="Times New Roman" w:hAnsi="Times New Roman" w:cs="Times New Roman"/>
          <w:sz w:val="28"/>
          <w:szCs w:val="28"/>
        </w:rPr>
        <w:t>узаконить земельные участки под несколькими гаражами?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Закон о "гаражной амнистии" не устанавливает однократность предоставления земельного участка в собственность бесплатно для размещения гаража. При соблюдении условий, предусмотренных Законом о "гаражной амнистии", возможно оформление права собственности в упрощенном порядке на несколько гаражей и земельных участков под ними.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Металлические гаражи подпадают под "гаражную амнистию"?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Под гаражами, которые подпадают под действие "гаражной амнистии", понимаются объекты при условии одновременного соблюдения трех условий: здание должно являться капитальным, то есть прочно связано с землей, возведено до 30.12.2004 года (до вступления в силу Градостроительного кодекса РФ), а также не признано самовольной постройкой по решению суда или органа местной власти. При этом гараж может быть отдельно стоящим или иметь общие стены, крышу и фундамент с другими гаражами.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Default="00E904D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0022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2023-04-22T11:34:00Z</dcterms:created>
  <dcterms:modified xsi:type="dcterms:W3CDTF">2023-04-22T11:34:00Z</dcterms:modified>
</cp:coreProperties>
</file>