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83" w:rsidRDefault="009C30B4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83" w:rsidRDefault="009C30B4">
      <w:pPr>
        <w:spacing w:after="283"/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На пенсию в 2021 году: кто имеет право? </w:t>
      </w:r>
    </w:p>
    <w:p w:rsidR="00D84483" w:rsidRDefault="009C30B4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Свыше 700 человек  - жителей Волжского и 13 муниципальных районов в составе Центра ПФР № 1 — обратились с начала нового года за назначением пенсии. Большая часть этих обращений - почти 90% - за страховой пенсией</w:t>
      </w:r>
      <w:r>
        <w:rPr>
          <w:rFonts w:ascii="Liberation Sans" w:hAnsi="Liberation Sans"/>
          <w:sz w:val="26"/>
          <w:szCs w:val="26"/>
        </w:rPr>
        <w:t xml:space="preserve"> по старости.</w:t>
      </w:r>
    </w:p>
    <w:p w:rsidR="00D84483" w:rsidRDefault="009C30B4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Кто имеет в 2021 году право на оформление страховой пенсии? Несмотря на то, что с января пенсионный возраст увеличился ещё на год, а общее увеличение составило уже три года, пенсии в 2021 году назначаются на 1,5 года раньше нового пенсионног</w:t>
      </w:r>
      <w:r>
        <w:rPr>
          <w:rFonts w:ascii="Liberation Sans" w:hAnsi="Liberation Sans"/>
          <w:sz w:val="26"/>
          <w:szCs w:val="26"/>
        </w:rPr>
        <w:t xml:space="preserve">о возраста: в </w:t>
      </w:r>
      <w:r>
        <w:rPr>
          <w:rFonts w:ascii="Liberation Sans" w:hAnsi="Liberation Sans"/>
          <w:b/>
          <w:bCs/>
          <w:sz w:val="26"/>
          <w:szCs w:val="26"/>
        </w:rPr>
        <w:t>56,5 лет женщинам и в 61,5 год мужчинам</w:t>
      </w:r>
      <w:r>
        <w:rPr>
          <w:rFonts w:ascii="Liberation Sans" w:hAnsi="Liberation Sans"/>
          <w:sz w:val="26"/>
          <w:szCs w:val="26"/>
        </w:rPr>
        <w:t>.</w:t>
      </w:r>
    </w:p>
    <w:p w:rsidR="00D84483" w:rsidRDefault="009C30B4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 xml:space="preserve"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</w:t>
      </w:r>
      <w:r>
        <w:rPr>
          <w:rFonts w:ascii="Liberation Sans" w:hAnsi="Liberation Sans"/>
          <w:b/>
          <w:bCs/>
          <w:sz w:val="26"/>
          <w:szCs w:val="26"/>
        </w:rPr>
        <w:t>Это женщины 1965 года рождения и мужчин</w:t>
      </w:r>
      <w:r>
        <w:rPr>
          <w:rFonts w:ascii="Liberation Sans" w:hAnsi="Liberation Sans"/>
          <w:b/>
          <w:bCs/>
          <w:sz w:val="26"/>
          <w:szCs w:val="26"/>
        </w:rPr>
        <w:t>ы 1960 года рождения</w:t>
      </w:r>
      <w:r>
        <w:rPr>
          <w:rFonts w:ascii="Liberation Sans" w:hAnsi="Liberation Sans"/>
          <w:sz w:val="26"/>
          <w:szCs w:val="26"/>
        </w:rPr>
        <w:t xml:space="preserve">. </w:t>
      </w:r>
    </w:p>
    <w:p w:rsidR="00D84483" w:rsidRDefault="009C30B4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  <w:t>Тем, кто в наступившем году достигнет прежнего пенсионного возраста, пенсия по старости, согласно переходному периоду, будет назначена в 2024 году.</w:t>
      </w:r>
    </w:p>
    <w:p w:rsidR="00D84483" w:rsidRDefault="009C30B4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Напомним, что для многих россиян выход на пенсию остался в прежних возрастных гран</w:t>
      </w:r>
      <w:r>
        <w:rPr>
          <w:rFonts w:ascii="Liberation Sans" w:hAnsi="Liberation Sans"/>
          <w:sz w:val="26"/>
          <w:szCs w:val="26"/>
        </w:rPr>
        <w:t>ицах. В первую очередь это относится к людям, имеющим льготы по досрочному получению пенсии. Например, спасателям, водителям общественного транспорта, работникам, занятым в тяжёлых, опасных и вредных условиях труда. Работодатели уплачивают за них дополните</w:t>
      </w:r>
      <w:r>
        <w:rPr>
          <w:rFonts w:ascii="Liberation Sans" w:hAnsi="Liberation Sans"/>
          <w:sz w:val="26"/>
          <w:szCs w:val="26"/>
        </w:rPr>
        <w:t>льные взносы на пенсионное страхование, и большинство таких работников, как и раньше, выходит на пенсию в 50/55 лет.</w:t>
      </w:r>
    </w:p>
    <w:p w:rsidR="00D84483" w:rsidRDefault="009C30B4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Досрочный выход также сохранился у педагогов, врачей и представителей некоторых творческих профессий, которым выплаты назначаются после вы</w:t>
      </w:r>
      <w:r>
        <w:rPr>
          <w:rFonts w:ascii="Liberation Sans" w:hAnsi="Liberation Sans"/>
          <w:sz w:val="26"/>
          <w:szCs w:val="26"/>
        </w:rPr>
        <w:t xml:space="preserve">работки </w:t>
      </w:r>
      <w:proofErr w:type="spellStart"/>
      <w:r>
        <w:rPr>
          <w:rFonts w:ascii="Liberation Sans" w:hAnsi="Liberation Sans"/>
          <w:sz w:val="26"/>
          <w:szCs w:val="26"/>
        </w:rPr>
        <w:t>спецстажа</w:t>
      </w:r>
      <w:proofErr w:type="spellEnd"/>
      <w:r>
        <w:rPr>
          <w:rFonts w:ascii="Liberation Sans" w:hAnsi="Liberation Sans"/>
          <w:sz w:val="26"/>
          <w:szCs w:val="26"/>
        </w:rPr>
        <w:t>, но теперь с учётом повышения пенсионного возраста.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 - в апреле 2024-го.</w:t>
      </w:r>
    </w:p>
    <w:p w:rsidR="00D84483" w:rsidRDefault="009C30B4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 xml:space="preserve">Для получения пенсии должны быть выработаны минимальные пенсионные коэффициенты и стаж. В 2021 году они составляют </w:t>
      </w:r>
      <w:r>
        <w:rPr>
          <w:rFonts w:ascii="Liberation Sans" w:hAnsi="Liberation Sans"/>
          <w:b/>
          <w:bCs/>
          <w:sz w:val="26"/>
          <w:szCs w:val="26"/>
        </w:rPr>
        <w:t>12 лет стажа и 21 коэффициент</w:t>
      </w:r>
      <w:r>
        <w:rPr>
          <w:rFonts w:ascii="Liberation Sans" w:hAnsi="Liberation Sans"/>
          <w:sz w:val="26"/>
          <w:szCs w:val="26"/>
        </w:rPr>
        <w:t>. При наличии специальных льгот по стажу и права на премиальные коэффициенты, которые даются за отложенный выхо</w:t>
      </w:r>
      <w:r>
        <w:rPr>
          <w:rFonts w:ascii="Liberation Sans" w:hAnsi="Liberation Sans"/>
          <w:sz w:val="26"/>
          <w:szCs w:val="26"/>
        </w:rPr>
        <w:t>д на пенсию, можно сформировать более высокие пенсионные права в течение года.</w:t>
      </w:r>
    </w:p>
    <w:p w:rsidR="00D84483" w:rsidRDefault="009C30B4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b/>
          <w:bCs/>
          <w:sz w:val="26"/>
          <w:szCs w:val="26"/>
        </w:rPr>
        <w:t>Важно знать!</w:t>
      </w:r>
      <w:r>
        <w:rPr>
          <w:rFonts w:ascii="Liberation Sans" w:hAnsi="Liberation Sans"/>
          <w:sz w:val="26"/>
          <w:szCs w:val="26"/>
        </w:rPr>
        <w:t xml:space="preserve"> Повышение требований к пенсионному возрасту не распространяется на пенсии по инвалидности. Они сохранены в полном объёме и назначаются тем, кто потерял трудоспособ</w:t>
      </w:r>
      <w:r>
        <w:rPr>
          <w:rFonts w:ascii="Liberation Sans" w:hAnsi="Liberation Sans"/>
          <w:sz w:val="26"/>
          <w:szCs w:val="26"/>
        </w:rPr>
        <w:t>ность, независимо от возраста при установлении группы инвалидности.</w:t>
      </w:r>
    </w:p>
    <w:p w:rsidR="00D84483" w:rsidRDefault="00D84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83" w:rsidRDefault="00D84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83" w:rsidRDefault="009C30B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D84483" w:rsidRDefault="009C30B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D84483" w:rsidRDefault="009C30B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D8448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83"/>
    <w:rsid w:val="009C30B4"/>
    <w:rsid w:val="00D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2021-02-08T16:20:00Z</cp:lastPrinted>
  <dcterms:created xsi:type="dcterms:W3CDTF">2021-02-09T05:04:00Z</dcterms:created>
  <dcterms:modified xsi:type="dcterms:W3CDTF">2021-02-09T05:04:00Z</dcterms:modified>
  <dc:language>ru-RU</dc:language>
</cp:coreProperties>
</file>