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10A2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4455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77352" w:rsidRPr="00461799" w:rsidRDefault="00BA124E" w:rsidP="00B7735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отвечает на вопросы граждан, заданные в декабре 2021 года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Я выплатил ипотечный кредит в банке. Кто может обратиться с заявлением о погашении ипотеки в Едином государственном реестре недвижимости?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</w:t>
      </w:r>
      <w:r>
        <w:rPr>
          <w:rFonts w:ascii="Times New Roman" w:hAnsi="Times New Roman" w:cs="Times New Roman"/>
          <w:sz w:val="28"/>
          <w:szCs w:val="28"/>
        </w:rPr>
        <w:t>й обязательства в полном объем.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sz w:val="28"/>
          <w:szCs w:val="28"/>
        </w:rPr>
        <w:t>Регистрационная запись об ипотеке также может быть погашена по решению суда или арбитражного суда о прекращении ипотеки.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У меня в собственности есть земельный участок, разрешенное использование которого – индивидуальное жилищное строительство. Могу ли я построить склад на вышеуказанном земельном участке, и какая ответственность предусмотрена за нецелевое использование земельного участка?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C37122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</w:t>
      </w:r>
      <w:r w:rsidRPr="00C37122">
        <w:rPr>
          <w:rFonts w:ascii="Times New Roman" w:hAnsi="Times New Roman" w:cs="Times New Roman"/>
          <w:sz w:val="28"/>
          <w:szCs w:val="28"/>
        </w:rPr>
        <w:t xml:space="preserve"> имеет право возводить на нем здания и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sz w:val="28"/>
          <w:szCs w:val="28"/>
        </w:rPr>
        <w:t>За нецелевое использование земельного участка предусмотрена ответственность в виде штрафа, размер которого зависит от кадастровой стоимости и устанавливается в процентах от нее. Кроме того, нецелевое использование участка может повлечь и другие неблагоприятн</w:t>
      </w:r>
      <w:r>
        <w:rPr>
          <w:rFonts w:ascii="Times New Roman" w:hAnsi="Times New Roman" w:cs="Times New Roman"/>
          <w:sz w:val="28"/>
          <w:szCs w:val="28"/>
        </w:rPr>
        <w:t xml:space="preserve">ые последствия, например, </w:t>
      </w:r>
      <w:r w:rsidRPr="00C37122">
        <w:rPr>
          <w:rFonts w:ascii="Times New Roman" w:hAnsi="Times New Roman" w:cs="Times New Roman"/>
          <w:sz w:val="28"/>
          <w:szCs w:val="28"/>
        </w:rPr>
        <w:t>прекращение прав на него, отказ в выдаче разрешения на строительство.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98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C91098">
        <w:rPr>
          <w:rFonts w:ascii="Times New Roman" w:hAnsi="Times New Roman" w:cs="Times New Roman"/>
          <w:sz w:val="28"/>
          <w:szCs w:val="28"/>
        </w:rPr>
        <w:t xml:space="preserve"> Нужно ли собственнику объекта недвижимости обращаться лично для внесения изменений после проведения комплексных кадастровых работ в регистрирующий орган?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9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91098">
        <w:rPr>
          <w:rFonts w:ascii="Times New Roman" w:hAnsi="Times New Roman" w:cs="Times New Roman"/>
          <w:sz w:val="28"/>
          <w:szCs w:val="28"/>
        </w:rPr>
        <w:t>собственнику нет необходимости самостоятельно обращаться в орган регистрации прав для внесения сведений в ЕГРН.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получения документов из государственного фонда данных?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 необходимо представить: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 заявление;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-документ, подтверждающий полномочия представителя заинтересованного лица на получение Документов государственного фонда данных.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Могут ли мне вернуть документы без рассмотрения, если я уплатил государственную пошлину в меньшем размере, чем это предусмотрено Налоговым кодексом?  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Положениями статьи 25 Федерального закона от 13.07.2015 № 218-ФЗ «О государственной регистрации недвижимости» (далее – Закон № 218-ФЗ) определен исчерпывающий перечень оснований для возврата заявления о государственном кадастровом учете и (или) государственной регистрации прав и документов, прилагаемых к нему, без рассмотрения. Так, заявление о государственном кадастровом учете и (или) государственной регистрации прав и документы, прилагаемые к нему, возвращаются без рассмотрения, если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(пункт 3 статьи 25 Закона № 218-ФЗ).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При наличии же в органе регистрации прав информации (в том числе документа), подтверждающей уплату государственной пошлины в размере, предусмотренном пунктом 1 статьи 333.33 НК, но иным подпунктом (например, при уплате физическим лицом государственной пошлины, предусмотренной подпунктами 24, 25 пункта 1 статьи 333.33 НК, в размере 350 рублей, тогда как должна быть уплачена государственная пошлина, предусмотренная подпунктом 22 пункта 1 статьи 333.33 НК, т.е. в размере 2000 рублей), имеются основания для приостановления государственной регистрации прав в соответствии с частью 1 статьи 26 Закона № 218-ФЗ, а не для возврата заявления и документов о государственном кадастровом учете и (или) государственной регистрации прав без рассмотрения.</w:t>
      </w:r>
    </w:p>
    <w:p w:rsidR="00BA124E" w:rsidRPr="00D7516C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6C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D7516C">
        <w:rPr>
          <w:rFonts w:ascii="Times New Roman" w:hAnsi="Times New Roman" w:cs="Times New Roman"/>
          <w:sz w:val="28"/>
          <w:szCs w:val="28"/>
        </w:rPr>
        <w:t xml:space="preserve"> Должна ли уплачиваться государственная пошлина за государственную регистрацию соглашения о расторжении договора аренды недвижимого имущества?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6C">
        <w:rPr>
          <w:rFonts w:ascii="Times New Roman" w:hAnsi="Times New Roman" w:cs="Times New Roman"/>
          <w:b/>
          <w:sz w:val="28"/>
          <w:szCs w:val="28"/>
        </w:rPr>
        <w:t>Ответ:</w:t>
      </w:r>
      <w:r w:rsidRPr="00D7516C">
        <w:rPr>
          <w:rFonts w:ascii="Times New Roman" w:hAnsi="Times New Roman" w:cs="Times New Roman"/>
          <w:sz w:val="28"/>
          <w:szCs w:val="28"/>
        </w:rPr>
        <w:t xml:space="preserve">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взимается государственная пошлина в соответствии с Налоговым кодексом Российской Федерации: физическими лицами уплачивается в размере 2000 рублей, организацией – 22000 рублей. За государственную регистрацию прав, ограничений прав и обременений земельных участков из земель сельскохозяйственного назначения, сделок с такими земельными участками, если данные сделки подлежат государственной регистрации в соответствии с федеральным законом, государственная пошлина подлежит уплате в размере 350 рублей. Следовательно,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82951">
        <w:rPr>
          <w:rFonts w:ascii="Times New Roman" w:hAnsi="Times New Roman" w:cs="Times New Roman"/>
          <w:sz w:val="28"/>
          <w:szCs w:val="28"/>
        </w:rPr>
        <w:t xml:space="preserve"> Как вернуть квартиру обратно в собственность.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182951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1 Федерального закона от 13.07.2015 №218-ФЗ «О государственной регистрации недвижимости» государственная регистрация права в ЕГРН является единственным доказательством существования зарегистрированного права. Зарегистрированное в ЕГРН право на недвижимое имущество может быть оспорено только в судебном порядке.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Согласно п. 1 ст. 1166 Гражданского Кодекса Российской Федерации (далее – ГК РФ)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 (п. 1 ст. 178 ГК РФ).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В соответствии с п. 2 ст. 179 ГК РФ сделка, совершенная под влиянием обмана, может быть признана судом недействительной по иску потерпевшего.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по вопросу признания недействительности сделок купли-продажи квартир, рекомендуем обратиться в суд.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17F8"/>
    <w:rsid w:val="003F5B2E"/>
    <w:rsid w:val="0040312A"/>
    <w:rsid w:val="00410A23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70A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2022-01-16T19:16:00Z</dcterms:created>
  <dcterms:modified xsi:type="dcterms:W3CDTF">2022-01-16T19:16:00Z</dcterms:modified>
</cp:coreProperties>
</file>