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5CD5" w:rsidRDefault="00F95CD5" w:rsidP="00F95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F1">
        <w:rPr>
          <w:rFonts w:ascii="Times New Roman" w:hAnsi="Times New Roman" w:cs="Times New Roman"/>
          <w:b/>
          <w:sz w:val="28"/>
          <w:szCs w:val="28"/>
        </w:rPr>
        <w:t>О совершении сделок с объектами недвижимости, приобретенными за счет средств «материнского капитала» и кредитных (собственных) средств на основании договоров в простой письменной форме</w:t>
      </w:r>
    </w:p>
    <w:p w:rsidR="00F95CD5" w:rsidRPr="00DC27F1" w:rsidRDefault="00F95CD5" w:rsidP="00F95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D5" w:rsidRPr="00DC27F1" w:rsidRDefault="00F95CD5" w:rsidP="00F95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Default="00F95CD5" w:rsidP="00F95C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 xml:space="preserve">Жилое помещение, приобретенное с использованием средств материнского капитала должно быть оформлено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соглашению. </w:t>
      </w:r>
    </w:p>
    <w:p w:rsidR="00F95CD5" w:rsidRPr="00DC27F1" w:rsidRDefault="00F95CD5" w:rsidP="00F95C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 xml:space="preserve">Соглашение об определении размеров долей может быть оформлено с наделением каждого из супругов и детей долями в праве общей долевой собственности. При этом в силу положений Семейного кодекса Российской Федерации (далее – СК) такое соглашение подлежит нотариальному удостоверению, поскольку им изменяется установленный законом режим общей совместной собственности супругов на приобретенное в том числе за счет общего дохода, полученного в период брака, имущество на общую долевую собственность (если в соответствии со статьями 33, 41, 42 СК между супругами не был заключен брачный договор, предусматривающий изменение установленного законом режима совместной собственности). </w:t>
      </w: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>Однако, соглашение об определении размеров долей в праве общей долевой собственности может быть оформлено с наделением долями в праве общей долевой собственности детей и супругов, доля в праве общей долевой собственности которых поступит в их совместную собственность. В этом случае такое соглашение, поскольку им на указанное имущество режим совместной собственности не изменяется, может быть оформлено в простой письменной форме.</w:t>
      </w: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Pr="00DC27F1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>Следует учитывать, что нотариальное удостоверение сделки в соответствии с пунктом 2 статьи 163 Гражданского кодекса Российской Федерации является обязательным, несоблюдение нотариальной формы сделки влечет ее ничтожность (пункт 3 статьи 163 ГК РФ).</w:t>
      </w:r>
      <w:r w:rsidRPr="00DC27F1">
        <w:rPr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Ничтожная сделка недействительна, независимо от признания ее таковой судом (пункт 1 статьи 166 ГК РФ).</w:t>
      </w: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16DAE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4400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95CD5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2022-08-18T04:46:00Z</dcterms:created>
  <dcterms:modified xsi:type="dcterms:W3CDTF">2022-08-18T04:46:00Z</dcterms:modified>
</cp:coreProperties>
</file>