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B0107" w:rsidRPr="003251C7" w:rsidRDefault="003251C7" w:rsidP="003251C7">
      <w:pPr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sz w:val="29"/>
          <w:szCs w:val="29"/>
        </w:rPr>
        <w:t xml:space="preserve">            </w:t>
      </w:r>
      <w:r w:rsidR="009270CA">
        <w:rPr>
          <w:rFonts w:ascii="Times New Roman" w:hAnsi="Times New Roman"/>
          <w:b/>
          <w:color w:val="333333"/>
          <w:sz w:val="28"/>
          <w:szCs w:val="28"/>
        </w:rPr>
        <w:t>Уголовная ответственность за совершение актов терроризма</w:t>
      </w:r>
    </w:p>
    <w:p w:rsidR="00FB0107" w:rsidRPr="00FB0107" w:rsidRDefault="00FB0107" w:rsidP="009270CA">
      <w:pPr>
        <w:pStyle w:val="ad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Уголовный закон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устанавливает ответственность за совершение преступлений террористической направленности, предусмотренных </w:t>
      </w:r>
      <w:r>
        <w:rPr>
          <w:rFonts w:ascii="Times New Roman" w:hAnsi="Times New Roman"/>
          <w:color w:val="333333"/>
          <w:sz w:val="28"/>
          <w:szCs w:val="28"/>
        </w:rPr>
        <w:t>статьями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205, 205.1, 205.2, 205.3, 205.4, 205.5, 206, 208, 211, 220, 221, 277, 278, 279, 360 и 361</w:t>
      </w:r>
      <w:r>
        <w:rPr>
          <w:rFonts w:ascii="Times New Roman" w:hAnsi="Times New Roman"/>
          <w:color w:val="333333"/>
          <w:sz w:val="28"/>
          <w:szCs w:val="28"/>
        </w:rPr>
        <w:t xml:space="preserve"> УК РФ</w:t>
      </w:r>
      <w:r w:rsidRPr="009270CA">
        <w:rPr>
          <w:rFonts w:ascii="Times New Roman" w:hAnsi="Times New Roman"/>
          <w:color w:val="333333"/>
          <w:sz w:val="28"/>
          <w:szCs w:val="28"/>
        </w:rPr>
        <w:t>.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 xml:space="preserve">На основании ч. 1 ст. 205 УК РФ совершение террористического акта влечет ответственность в виде лишения свободы на срок </w:t>
      </w:r>
      <w:r w:rsidRPr="009270CA">
        <w:rPr>
          <w:rFonts w:ascii="Times New Roman" w:hAnsi="Times New Roman"/>
          <w:color w:val="333333"/>
          <w:sz w:val="28"/>
          <w:szCs w:val="28"/>
          <w:u w:val="single"/>
        </w:rPr>
        <w:t>от десяти до двадцати лет</w:t>
      </w:r>
      <w:r w:rsidRPr="009270CA">
        <w:rPr>
          <w:rFonts w:ascii="Times New Roman" w:hAnsi="Times New Roman"/>
          <w:color w:val="333333"/>
          <w:sz w:val="28"/>
          <w:szCs w:val="28"/>
        </w:rPr>
        <w:t>.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соответствии с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ч. 2 ст. 205 УК совершение теракта группой лиц по предварительному сговору или организованной группой</w:t>
      </w:r>
      <w:r>
        <w:rPr>
          <w:rFonts w:ascii="Times New Roman" w:hAnsi="Times New Roman"/>
          <w:color w:val="333333"/>
          <w:sz w:val="28"/>
          <w:szCs w:val="28"/>
        </w:rPr>
        <w:t>, с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причинение</w:t>
      </w:r>
      <w:r>
        <w:rPr>
          <w:rFonts w:ascii="Times New Roman" w:hAnsi="Times New Roman"/>
          <w:color w:val="333333"/>
          <w:sz w:val="28"/>
          <w:szCs w:val="28"/>
        </w:rPr>
        <w:t>м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значительного имущественного ущерба либо наступление</w:t>
      </w:r>
      <w:r>
        <w:rPr>
          <w:rFonts w:ascii="Times New Roman" w:hAnsi="Times New Roman"/>
          <w:color w:val="333333"/>
          <w:sz w:val="28"/>
          <w:szCs w:val="28"/>
        </w:rPr>
        <w:t>м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иных тяжких последствий влечет лишение свободы на срок от двенадцати до двадцати лет с ограничением свободы на срок от одного года до двух лет.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На основании ч. 3 ст. 205 УК совершение теракта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сопряжен</w:t>
      </w:r>
      <w:r>
        <w:rPr>
          <w:rFonts w:ascii="Times New Roman" w:hAnsi="Times New Roman"/>
          <w:color w:val="333333"/>
          <w:sz w:val="28"/>
          <w:szCs w:val="28"/>
        </w:rPr>
        <w:t>ное</w:t>
      </w:r>
      <w:r w:rsidRPr="009270CA">
        <w:rPr>
          <w:rFonts w:ascii="Times New Roman" w:hAnsi="Times New Roman"/>
          <w:color w:val="333333"/>
          <w:sz w:val="28"/>
          <w:szCs w:val="28"/>
        </w:rPr>
        <w:t xml:space="preserve">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</w:t>
      </w:r>
      <w:r>
        <w:rPr>
          <w:rFonts w:ascii="Times New Roman" w:hAnsi="Times New Roman"/>
          <w:color w:val="333333"/>
          <w:sz w:val="28"/>
          <w:szCs w:val="28"/>
        </w:rPr>
        <w:t xml:space="preserve">, повлекшее </w:t>
      </w:r>
      <w:r w:rsidRPr="009270CA">
        <w:rPr>
          <w:rFonts w:ascii="Times New Roman" w:hAnsi="Times New Roman"/>
          <w:color w:val="333333"/>
          <w:sz w:val="28"/>
          <w:szCs w:val="28"/>
        </w:rPr>
        <w:t>причинение смерти человеку влечет лишение свободы на срок от пятнадцати до двадцати лет с ограничением свободы на срок от одного года до двух лет или пожизненное лишение свободы.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</w:t>
      </w:r>
      <w:r w:rsidRPr="009270CA">
        <w:rPr>
          <w:rFonts w:ascii="Times New Roman" w:hAnsi="Times New Roman"/>
          <w:color w:val="333333"/>
          <w:sz w:val="28"/>
          <w:szCs w:val="28"/>
        </w:rPr>
        <w:t>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лица, участвовавшего в подготовке террористического акта, от уголовной ответственности при условии, что в его действиях не содержится иного состава преступления (примечание к ст. 205 УК РФ).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Кроме того, УК РФ установлена уголовная ответственность за: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- содействие террористической деятельности (а именно за склонение, вербовку или иное вовлечение лица в совершение преступлений соответствующей направленности) (ст. 205.1</w:t>
      </w:r>
      <w:r>
        <w:rPr>
          <w:rFonts w:ascii="Times New Roman" w:hAnsi="Times New Roman"/>
          <w:color w:val="333333"/>
          <w:sz w:val="28"/>
          <w:szCs w:val="28"/>
        </w:rPr>
        <w:t xml:space="preserve"> УК РФ</w:t>
      </w:r>
      <w:r w:rsidRPr="009270CA">
        <w:rPr>
          <w:rFonts w:ascii="Times New Roman" w:hAnsi="Times New Roman"/>
          <w:color w:val="333333"/>
          <w:sz w:val="28"/>
          <w:szCs w:val="28"/>
        </w:rPr>
        <w:t>);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- публичные призывы к осуществлению террористической деятельности, публичное оправдание терроризма или пропаганда терроризма (ст. 205.2</w:t>
      </w:r>
      <w:r>
        <w:rPr>
          <w:rFonts w:ascii="Times New Roman" w:hAnsi="Times New Roman"/>
          <w:color w:val="333333"/>
          <w:sz w:val="28"/>
          <w:szCs w:val="28"/>
        </w:rPr>
        <w:t xml:space="preserve"> УК РФ</w:t>
      </w:r>
      <w:r w:rsidRPr="009270CA">
        <w:rPr>
          <w:rFonts w:ascii="Times New Roman" w:hAnsi="Times New Roman"/>
          <w:color w:val="333333"/>
          <w:sz w:val="28"/>
          <w:szCs w:val="28"/>
        </w:rPr>
        <w:t>);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- прохождение обучения в целях осуществления террористической деятельности (ст. 205.3</w:t>
      </w:r>
      <w:r>
        <w:rPr>
          <w:rFonts w:ascii="Times New Roman" w:hAnsi="Times New Roman"/>
          <w:color w:val="333333"/>
          <w:sz w:val="28"/>
          <w:szCs w:val="28"/>
        </w:rPr>
        <w:t xml:space="preserve"> УК РФ</w:t>
      </w:r>
      <w:r w:rsidRPr="009270CA">
        <w:rPr>
          <w:rFonts w:ascii="Times New Roman" w:hAnsi="Times New Roman"/>
          <w:color w:val="333333"/>
          <w:sz w:val="28"/>
          <w:szCs w:val="28"/>
        </w:rPr>
        <w:t>);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- организацию террористического сообщества и руководство им, а также участие в нем (ст. 205.4</w:t>
      </w:r>
      <w:r>
        <w:rPr>
          <w:rFonts w:ascii="Times New Roman" w:hAnsi="Times New Roman"/>
          <w:color w:val="333333"/>
          <w:sz w:val="28"/>
          <w:szCs w:val="28"/>
        </w:rPr>
        <w:t xml:space="preserve"> УК РФ</w:t>
      </w:r>
      <w:r w:rsidRPr="009270CA">
        <w:rPr>
          <w:rFonts w:ascii="Times New Roman" w:hAnsi="Times New Roman"/>
          <w:color w:val="333333"/>
          <w:sz w:val="28"/>
          <w:szCs w:val="28"/>
        </w:rPr>
        <w:t>);</w:t>
      </w:r>
    </w:p>
    <w:p w:rsidR="009270CA" w:rsidRPr="009270CA" w:rsidRDefault="009270CA" w:rsidP="009270CA">
      <w:pPr>
        <w:pStyle w:val="ad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270CA">
        <w:rPr>
          <w:rFonts w:ascii="Times New Roman" w:hAnsi="Times New Roman"/>
          <w:color w:val="333333"/>
          <w:sz w:val="28"/>
          <w:szCs w:val="28"/>
        </w:rPr>
        <w:t>- организацию деятельности террористической организации и участие в деятельности такой организации (ст. 205.5</w:t>
      </w:r>
      <w:r>
        <w:rPr>
          <w:rFonts w:ascii="Times New Roman" w:hAnsi="Times New Roman"/>
          <w:color w:val="333333"/>
          <w:sz w:val="28"/>
          <w:szCs w:val="28"/>
        </w:rPr>
        <w:t xml:space="preserve"> УК РФ</w:t>
      </w:r>
      <w:r w:rsidRPr="009270CA">
        <w:rPr>
          <w:rFonts w:ascii="Times New Roman" w:hAnsi="Times New Roman"/>
          <w:color w:val="333333"/>
          <w:sz w:val="28"/>
          <w:szCs w:val="28"/>
        </w:rPr>
        <w:t>).</w:t>
      </w:r>
    </w:p>
    <w:p w:rsidR="009270CA" w:rsidRPr="006E74BE" w:rsidRDefault="009270CA" w:rsidP="009270CA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72AB" w:rsidRDefault="001372A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7B61FC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</w:t>
      </w:r>
      <w:proofErr w:type="spellEnd"/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7B61F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3251C7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2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 w:rsidR="001372AB"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sectPr w:rsidR="003251C7" w:rsidSect="00FE0570">
      <w:headerReference w:type="first" r:id="rId8"/>
      <w:footerReference w:type="first" r:id="rId9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F9" w:rsidRDefault="00E364F9" w:rsidP="007212FD">
      <w:pPr>
        <w:spacing w:after="0" w:line="240" w:lineRule="auto"/>
      </w:pPr>
      <w:r>
        <w:separator/>
      </w:r>
    </w:p>
  </w:endnote>
  <w:endnote w:type="continuationSeparator" w:id="0">
    <w:p w:rsidR="00E364F9" w:rsidRDefault="00E364F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C7" w:rsidRDefault="003251C7"/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F9" w:rsidRDefault="00E364F9" w:rsidP="007212FD">
      <w:pPr>
        <w:spacing w:after="0" w:line="240" w:lineRule="auto"/>
      </w:pPr>
      <w:r>
        <w:separator/>
      </w:r>
    </w:p>
  </w:footnote>
  <w:footnote w:type="continuationSeparator" w:id="0">
    <w:p w:rsidR="00E364F9" w:rsidRDefault="00E364F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462"/>
    <w:rsid w:val="0000285A"/>
    <w:rsid w:val="0001614D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47BD4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372AB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4067"/>
    <w:rsid w:val="001A71D0"/>
    <w:rsid w:val="001B13EC"/>
    <w:rsid w:val="001B3194"/>
    <w:rsid w:val="001B461C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15DB"/>
    <w:rsid w:val="00266BCF"/>
    <w:rsid w:val="00274515"/>
    <w:rsid w:val="00280D52"/>
    <w:rsid w:val="00281733"/>
    <w:rsid w:val="00284290"/>
    <w:rsid w:val="00286F8D"/>
    <w:rsid w:val="00291073"/>
    <w:rsid w:val="00293AA0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D6996"/>
    <w:rsid w:val="002E2FBB"/>
    <w:rsid w:val="002E7520"/>
    <w:rsid w:val="002F5211"/>
    <w:rsid w:val="00304352"/>
    <w:rsid w:val="003071D4"/>
    <w:rsid w:val="003229AC"/>
    <w:rsid w:val="003251C7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5843"/>
    <w:rsid w:val="0041727D"/>
    <w:rsid w:val="00426B2F"/>
    <w:rsid w:val="00432416"/>
    <w:rsid w:val="00433841"/>
    <w:rsid w:val="00437038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C4385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B61FC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55DE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270CA"/>
    <w:rsid w:val="00932222"/>
    <w:rsid w:val="0093472E"/>
    <w:rsid w:val="0095333B"/>
    <w:rsid w:val="00962316"/>
    <w:rsid w:val="00965F3A"/>
    <w:rsid w:val="0097352B"/>
    <w:rsid w:val="0099556E"/>
    <w:rsid w:val="009B5E2A"/>
    <w:rsid w:val="009C7F01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485F"/>
    <w:rsid w:val="00B9544B"/>
    <w:rsid w:val="00BA0EDA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B7DFF"/>
    <w:rsid w:val="00CD1C0A"/>
    <w:rsid w:val="00CD29FE"/>
    <w:rsid w:val="00CD3804"/>
    <w:rsid w:val="00CE2511"/>
    <w:rsid w:val="00CE37A6"/>
    <w:rsid w:val="00CE5760"/>
    <w:rsid w:val="00CF3A3C"/>
    <w:rsid w:val="00CF7822"/>
    <w:rsid w:val="00D03020"/>
    <w:rsid w:val="00D13CD6"/>
    <w:rsid w:val="00D238F0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3327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364F9"/>
    <w:rsid w:val="00E4097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87C12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22BE"/>
    <w:rsid w:val="00FA4CE3"/>
    <w:rsid w:val="00FA4E29"/>
    <w:rsid w:val="00FA763F"/>
    <w:rsid w:val="00FA76D9"/>
    <w:rsid w:val="00FA7E51"/>
    <w:rsid w:val="00FB0107"/>
    <w:rsid w:val="00FB673E"/>
    <w:rsid w:val="00FB6954"/>
    <w:rsid w:val="00FB7145"/>
    <w:rsid w:val="00FB798C"/>
    <w:rsid w:val="00FC131F"/>
    <w:rsid w:val="00FC279E"/>
    <w:rsid w:val="00FD07E2"/>
    <w:rsid w:val="00FD0FD2"/>
    <w:rsid w:val="00FE0570"/>
    <w:rsid w:val="00FE1F4B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8D93E-FA34-4B3B-9A13-D40DD64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2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9AEA-123A-4C8A-8D7F-CD30FA9B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User</cp:lastModifiedBy>
  <cp:revision>2</cp:revision>
  <cp:lastPrinted>2021-06-17T13:00:00Z</cp:lastPrinted>
  <dcterms:created xsi:type="dcterms:W3CDTF">2024-06-05T04:06:00Z</dcterms:created>
  <dcterms:modified xsi:type="dcterms:W3CDTF">2024-06-05T04:06:00Z</dcterms:modified>
</cp:coreProperties>
</file>